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90" w:right="207.02392578125" w:hanging="15"/>
        <w:jc w:val="both"/>
        <w:rPr>
          <w:rFonts w:ascii="Calibri" w:cs="Calibri" w:eastAsia="Calibri" w:hAnsi="Calibri"/>
          <w:b w:val="1"/>
          <w:bCs w:val="1"/>
          <w:i w:val="0"/>
          <w:iCs w:val="0"/>
          <w:smallCaps w:val="0"/>
          <w:strike w:val="0"/>
          <w:color w:val="073763"/>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73763"/>
          <w:sz w:val="28"/>
          <w:szCs w:val="28"/>
          <w:u w:val="none"/>
          <w:shd w:fill="auto" w:val="clear"/>
          <w:vertAlign w:val="baseline"/>
          <w:rtl w:val="0"/>
        </w:rPr>
        <w:t xml:space="preserve">Standard Operating Procedure (SOP) for redressing stakeholder grievances by </w:t>
      </w:r>
      <w:r w:rsidDel="00000000" w:rsidR="00000000" w:rsidRPr="00000000">
        <w:rPr>
          <w:rFonts w:ascii="Calibri" w:cs="Calibri" w:eastAsia="Calibri" w:hAnsi="Calibri"/>
          <w:b w:val="1"/>
          <w:bCs w:val="1"/>
          <w:color w:val="073763"/>
          <w:sz w:val="28"/>
          <w:szCs w:val="28"/>
          <w:rtl w:val="0"/>
        </w:rPr>
        <w:t xml:space="preserve">{mention state nursing council}</w:t>
      </w:r>
      <w:r w:rsidDel="00000000" w:rsidR="00000000" w:rsidRPr="00000000">
        <w:rPr>
          <w:rFonts w:ascii="Calibri" w:cs="Calibri" w:eastAsia="Calibri" w:hAnsi="Calibri"/>
          <w:b w:val="1"/>
          <w:bCs w:val="1"/>
          <w:i w:val="0"/>
          <w:iCs w:val="0"/>
          <w:smallCaps w:val="0"/>
          <w:strike w:val="0"/>
          <w:color w:val="073763"/>
          <w:sz w:val="28"/>
          <w:szCs w:val="28"/>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05419921875" w:line="244.04296875" w:lineRule="auto"/>
        <w:ind w:left="90" w:right="206.239013671875" w:hanging="15"/>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 Objective: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05419921875" w:line="244.04296875" w:lineRule="auto"/>
        <w:ind w:left="90" w:right="206.239013671875" w:hanging="15"/>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The purpose of this Standard Operating Procedure (SOP) is to provide guidelines to all the employees of </w:t>
      </w:r>
      <w:r w:rsidDel="00000000" w:rsidR="00000000" w:rsidRPr="00000000">
        <w:rPr>
          <w:rFonts w:ascii="Calibri" w:cs="Calibri" w:eastAsia="Calibri" w:hAnsi="Calibri"/>
          <w:sz w:val="24"/>
          <w:szCs w:val="24"/>
          <w:rtl w:val="0"/>
        </w:rPr>
        <w:t xml:space="preserve">{mention state nursing council}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with respect to redressing grievances raised on the Grievance Redressal tech platform by institutes, students, registered professionals and public at large. A Grievance Redressal (GR) tech platform and guidelines therein streamlines complaint handling, ensuring faster conflict resolution and improved stakeholder satisfaction. This enhances public trust, allowing stakeholders to track grievance status and regulatory actions taken. Real-time reporting and data analysis enable </w:t>
      </w:r>
      <w:r w:rsidDel="00000000" w:rsidR="00000000" w:rsidRPr="00000000">
        <w:rPr>
          <w:rFonts w:ascii="Calibri" w:cs="Calibri" w:eastAsia="Calibri" w:hAnsi="Calibri"/>
          <w:sz w:val="24"/>
          <w:szCs w:val="24"/>
          <w:rtl w:val="0"/>
        </w:rPr>
        <w:t xml:space="preserve">{mention state nursing council}</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to identify trends, enforce standardized processes, and address systemic issues promptly.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3818359375" w:line="240" w:lineRule="auto"/>
        <w:ind w:left="90" w:right="0" w:hanging="15"/>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 Benefits of Grievance Redressal tech platform </w:t>
      </w:r>
    </w:p>
    <w:p w:rsidR="00000000" w:rsidDel="00000000" w:rsidP="00000000" w:rsidRDefault="00000000" w:rsidRPr="00000000" w14:paraId="0000000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287.791748046875" w:line="244.04296875" w:lineRule="auto"/>
        <w:ind w:left="720" w:right="212.626953125" w:hanging="360"/>
        <w:jc w:val="both"/>
        <w:rPr>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Institutes and Students can raise their grievances on a single unified tech platform  </w:t>
      </w:r>
    </w:p>
    <w:p w:rsidR="00000000" w:rsidDel="00000000" w:rsidP="00000000" w:rsidRDefault="00000000" w:rsidRPr="00000000" w14:paraId="0000000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44.04296875" w:lineRule="auto"/>
        <w:ind w:left="720" w:right="212.626953125" w:hanging="360"/>
        <w:jc w:val="both"/>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For </w:t>
      </w:r>
      <w:r w:rsidDel="00000000" w:rsidR="00000000" w:rsidRPr="00000000">
        <w:rPr>
          <w:rFonts w:ascii="Calibri" w:cs="Calibri" w:eastAsia="Calibri" w:hAnsi="Calibri"/>
          <w:sz w:val="24"/>
          <w:szCs w:val="24"/>
          <w:rtl w:val="0"/>
        </w:rPr>
        <w:t xml:space="preserve">{mention state nursing council}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this tech platform can serve as tool for effective end to end tracking and resolution mechanism to ensure stakeholder satisfaction </w:t>
      </w:r>
      <w:r w:rsidDel="00000000" w:rsidR="00000000" w:rsidRPr="00000000">
        <w:rPr>
          <w:rtl w:val="0"/>
        </w:rPr>
      </w:r>
    </w:p>
    <w:p w:rsidR="00000000" w:rsidDel="00000000" w:rsidP="00000000" w:rsidRDefault="00000000" w:rsidRPr="00000000" w14:paraId="0000000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beforeAutospacing="0" w:line="244.04296875" w:lineRule="auto"/>
        <w:ind w:left="720" w:right="219.736328125" w:hanging="360"/>
        <w:jc w:val="both"/>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Reviewing and monitoring systems are created wherein all grievances are logged without fail and the department is assigned with accountability. Timely redressal is tracked with the help of technology.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32080078125" w:line="244.04296875" w:lineRule="auto"/>
        <w:ind w:left="90" w:right="165" w:hanging="15"/>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3.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Responsibility: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The primary responsibility of ensuring adherence to this SOP is with the Secretary, </w:t>
      </w:r>
      <w:r w:rsidDel="00000000" w:rsidR="00000000" w:rsidRPr="00000000">
        <w:rPr>
          <w:rFonts w:ascii="Calibri" w:cs="Calibri" w:eastAsia="Calibri" w:hAnsi="Calibri"/>
          <w:sz w:val="24"/>
          <w:szCs w:val="24"/>
          <w:rtl w:val="0"/>
        </w:rPr>
        <w:t xml:space="preserve">{mention state nursing council}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32080078125" w:line="240" w:lineRule="auto"/>
        <w:ind w:left="90" w:right="0" w:hanging="15"/>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4.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Definitions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692626953125" w:line="240" w:lineRule="auto"/>
        <w:ind w:left="90" w:right="0" w:hanging="15"/>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a) Secretary: Secretary, </w:t>
      </w:r>
      <w:r w:rsidDel="00000000" w:rsidR="00000000" w:rsidRPr="00000000">
        <w:rPr>
          <w:rFonts w:ascii="Calibri" w:cs="Calibri" w:eastAsia="Calibri" w:hAnsi="Calibri"/>
          <w:sz w:val="24"/>
          <w:szCs w:val="24"/>
          <w:rtl w:val="0"/>
        </w:rPr>
        <w:t xml:space="preserve">{mention state nursing council}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74951171875" w:line="263.36339950561523" w:lineRule="auto"/>
        <w:ind w:left="90" w:right="216.80419921875" w:hanging="15"/>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b) Grievance Nodal: Any person designated as the Grievance Nodal (GN) officer by the Secretary.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583251953125" w:line="263.36339950561523" w:lineRule="auto"/>
        <w:ind w:left="90" w:right="218.143310546875" w:hanging="15"/>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c) Department Nodal: Any person designated as the Departmental Nodal (DN) officer by the Secretary.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5771484375" w:line="240" w:lineRule="auto"/>
        <w:ind w:left="90" w:right="0" w:hanging="15"/>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5. Grievance Redressal Process Flow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704833984375" w:line="240" w:lineRule="auto"/>
        <w:ind w:left="90" w:right="0" w:hanging="15"/>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5.1 Raising a grievance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8145751953125" w:line="240" w:lineRule="auto"/>
        <w:ind w:left="90" w:right="0" w:hanging="15"/>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Currently, 5 types of stakeholders can register their grievances on the GR tech platform: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8145751953125" w:line="240" w:lineRule="auto"/>
        <w:ind w:left="90" w:right="0" w:hanging="15"/>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i. Student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33544921875" w:line="240" w:lineRule="auto"/>
        <w:ind w:left="90" w:right="0" w:hanging="15"/>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ii. Institute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0" w:lineRule="auto"/>
        <w:ind w:left="90" w:right="0" w:hanging="15"/>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iii. Tutor/Teacher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7958984375" w:line="240" w:lineRule="auto"/>
        <w:ind w:left="90" w:right="0" w:hanging="15"/>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iv. Public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33544921875" w:line="240" w:lineRule="auto"/>
        <w:ind w:left="90" w:right="0" w:hanging="15"/>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v. Others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8145751953125" w:line="389.4393253326416" w:lineRule="auto"/>
        <w:ind w:left="90" w:right="1422.7825927734375" w:hanging="15"/>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The stakeholder can select the department to which their grievance is directed</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towards.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8145751953125" w:line="389.4393253326416" w:lineRule="auto"/>
        <w:ind w:left="90" w:right="1422.7825927734375" w:hanging="15"/>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5.2 Receiving and Assigning the grievances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284912109375" w:line="240" w:lineRule="auto"/>
        <w:ind w:left="90" w:right="0" w:hanging="15"/>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The Grievance Nodal as assigned by the Secretary has the following responsibilities: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81472778320312" w:line="263.3628559112549" w:lineRule="auto"/>
        <w:ind w:left="90" w:right="467.28759765625" w:hanging="15"/>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a) Login to the Grievance redressal tech platform and review all the grievances raised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81472778320312" w:line="263.3628559112549" w:lineRule="auto"/>
        <w:ind w:left="90" w:right="467.28759765625" w:hanging="15"/>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b) Grievance nodal has the responsibility to take action on all the grievances raised on the tech platform. Taking action on a grievance can mean a) selecting “Mark as Junk”1 OR b)</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36339950561523" w:lineRule="auto"/>
        <w:ind w:left="90" w:right="452.069091796875" w:hanging="15"/>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selecting “Assign” for assigning the grievance to a relevant department. For guidelines on Mark as Junk, please refer to section 5.5. </w:t>
      </w:r>
    </w:p>
    <w:p w:rsidR="00000000" w:rsidDel="00000000" w:rsidP="00000000" w:rsidRDefault="00000000" w:rsidRPr="00000000" w14:paraId="000000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1.658935546875" w:line="263.3628559112549" w:lineRule="auto"/>
        <w:ind w:left="720" w:right="225.869140625" w:hanging="360"/>
        <w:jc w:val="both"/>
        <w:rPr>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“Assign” refers to the process of assigning the grievance to a department. Assigning should be performed based on the Grievance Nodal’s understanding of the grievance and their knowledge of the functions performed by each departments. Grievance Nodal has the authority to assign the grievance to a different department than the department name mentioned by the complainant.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58935546875" w:line="263.36231231689453" w:lineRule="auto"/>
        <w:ind w:left="90" w:right="1043.1884765625" w:hanging="15"/>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c)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TAT: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Either of the actions- “Mark as Junk” or “Assign” need to be completed by the Grievance nodal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within 1 Working Day of grievance being logged on the portal</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61376953125" w:line="240" w:lineRule="auto"/>
        <w:ind w:left="90" w:right="0" w:hanging="15"/>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61376953125" w:line="240" w:lineRule="auto"/>
        <w:ind w:left="90" w:right="0" w:hanging="15"/>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5.3 Grievance Redressal by the assigned department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815185546875" w:line="240" w:lineRule="auto"/>
        <w:ind w:left="90" w:right="0" w:hanging="15"/>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The Departmental Nodal as assigned by the Secretary has the following responsibilities: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815185546875" w:line="263.36231231689453" w:lineRule="auto"/>
        <w:ind w:left="90" w:right="559.5709228515625" w:hanging="15"/>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a) Login to the Grievance redressal tech platform and review all the grievances assigned to his/her department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61376953125" w:line="263.36231231689453" w:lineRule="auto"/>
        <w:ind w:left="90" w:right="523.11279296875" w:hanging="15"/>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b) Departmental nodal should resolve the grievances to the satisfaction of the complainant within 7 working days of them being assigned to his/her department. </w:t>
      </w:r>
    </w:p>
    <w:p w:rsidR="00000000" w:rsidDel="00000000" w:rsidP="00000000" w:rsidRDefault="00000000" w:rsidRPr="00000000" w14:paraId="0000002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11.658935546875" w:line="263.36339950561523" w:lineRule="auto"/>
        <w:ind w:left="720" w:right="253.314208984375" w:hanging="360"/>
        <w:jc w:val="both"/>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Resolving the grievance mandatorily involves replying to the complainant on the grievance platform against the grievance lodged by them with adequate explanation, including uploading supporting documents, wherever required. </w:t>
      </w: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63.36339950561523" w:lineRule="auto"/>
        <w:ind w:left="720" w:right="253.314208984375" w:hanging="360"/>
        <w:jc w:val="both"/>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GR tech platform collects ratings of the redressed grievance from the complainant after Departmental Nodal (DN) marks the grievance as closed. Any rating of 3 and above (with 5 being the highest rating) by the complainant shall be considered as satisfactory for the purpose of this SOP. </w:t>
      </w: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beforeAutospacing="0" w:line="263.36339950561523" w:lineRule="auto"/>
        <w:ind w:left="720" w:right="253.314208984375" w:hanging="360"/>
        <w:jc w:val="both"/>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All the grievances with a rating of 2 and below (with 5 being the highest rating), need to be mandatorily reviewed by the Grievance Nodal and reported to the Secretary on a monthly basis, wherever deemed necessary.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61376953125" w:line="240" w:lineRule="auto"/>
        <w:ind w:left="90" w:right="0" w:hanging="15"/>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c)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TAT: </w:t>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33.0743408203125" w:line="263.36231231689453" w:lineRule="auto"/>
        <w:ind w:left="720" w:right="477.5445556640625" w:hanging="360"/>
        <w:jc w:val="both"/>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For Departmental Nodal - Responding to the grievance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within 7 working days of it being assigned to the department</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63.36231231689453" w:lineRule="auto"/>
        <w:ind w:left="720" w:right="477.5445556640625" w:hanging="360"/>
        <w:jc w:val="both"/>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For Grievance Nodal - Reviewing all the closed grievances with a rating of 2 and below and reporting to the secretary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on a monthly basis.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475830078125" w:line="240" w:lineRule="auto"/>
        <w:ind w:left="90" w:right="0" w:hanging="15"/>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5.4 Escalation to Secretary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8887939453125" w:line="263.36231231689453" w:lineRule="auto"/>
        <w:ind w:left="90" w:right="1037.1514892578125" w:hanging="15"/>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The Secretary has the primary responsibility for ensuring adherence to the SOP. Some of the illustrative responsibilities of Secretary are: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61376953125" w:line="263.36451530456543" w:lineRule="auto"/>
        <w:ind w:left="90" w:right="235.423583984375" w:hanging="15"/>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1) Reviewing and monitoring</w:t>
      </w:r>
      <w:r w:rsidDel="00000000" w:rsidR="00000000" w:rsidRPr="00000000">
        <w:rPr>
          <w:rFonts w:ascii="Calibri" w:cs="Calibri" w:eastAsia="Calibri" w:hAnsi="Calibri"/>
          <w:i w:val="0"/>
          <w:iCs w:val="0"/>
          <w:smallCaps w:val="0"/>
          <w:strike w:val="0"/>
          <w:color w:val="000000"/>
          <w:sz w:val="24"/>
          <w:szCs w:val="24"/>
          <w:shd w:fill="auto" w:val="clear"/>
          <w:vertAlign w:val="baseline"/>
          <w:rtl w:val="0"/>
        </w:rPr>
        <w:t xml:space="preserve"> the </w:t>
      </w:r>
      <w:r w:rsidDel="00000000" w:rsidR="00000000" w:rsidRPr="00000000">
        <w:rPr>
          <w:rFonts w:ascii="Calibri" w:cs="Calibri" w:eastAsia="Calibri" w:hAnsi="Calibri"/>
          <w:i w:val="0"/>
          <w:iCs w:val="0"/>
          <w:smallCaps w:val="0"/>
          <w:strike w:val="0"/>
          <w:sz w:val="24"/>
          <w:szCs w:val="24"/>
          <w:shd w:fill="auto" w:val="clear"/>
          <w:vertAlign w:val="baseline"/>
          <w:rtl w:val="0"/>
        </w:rPr>
        <w:t xml:space="preserve">Grievance Redressal dashboard</w:t>
      </w:r>
      <w:r w:rsidDel="00000000" w:rsidR="00000000" w:rsidRPr="00000000">
        <w:rPr>
          <w:rFonts w:ascii="Calibri" w:cs="Calibri" w:eastAsia="Calibri" w:hAnsi="Calibri"/>
          <w:i w:val="0"/>
          <w:iCs w:val="0"/>
          <w:smallCaps w:val="0"/>
          <w:strike w:val="0"/>
          <w:color w:val="1155cc"/>
          <w:sz w:val="24"/>
          <w:szCs w:val="24"/>
          <w:u w:val="none"/>
          <w:shd w:fill="auto" w:val="clear"/>
          <w:vertAlign w:val="baseline"/>
          <w:rtl w:val="0"/>
        </w:rPr>
        <w:t xml:space="preserve">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on a weekly basis and holding the Nodal officers accountable for default cases (defined in point 3 below).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571044921875" w:line="263.36231231689453" w:lineRule="auto"/>
        <w:ind w:left="90" w:right="463.492431640625" w:hanging="15"/>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2) </w:t>
      </w:r>
      <w:r w:rsidDel="00000000" w:rsidR="00000000" w:rsidRPr="00000000">
        <w:rPr>
          <w:rFonts w:ascii="Calibri" w:cs="Calibri" w:eastAsia="Calibri" w:hAnsi="Calibri"/>
          <w:sz w:val="24"/>
          <w:szCs w:val="24"/>
          <w:rtl w:val="0"/>
        </w:rPr>
        <w:t xml:space="preserve">Assign</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the responsibilities of Grievance Nodal and Departmental Nodal (DN) to relevant </w:t>
      </w:r>
      <w:r w:rsidDel="00000000" w:rsidR="00000000" w:rsidRPr="00000000">
        <w:rPr>
          <w:rFonts w:ascii="Calibri" w:cs="Calibri" w:eastAsia="Calibri" w:hAnsi="Calibri"/>
          <w:sz w:val="24"/>
          <w:szCs w:val="24"/>
          <w:rtl w:val="0"/>
        </w:rPr>
        <w:t xml:space="preserve">{Mention state nursing council}</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personnel from time to time.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58935546875" w:line="240" w:lineRule="auto"/>
        <w:ind w:left="90" w:right="0" w:hanging="15"/>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3) Sending reminders on GR tech platform for default cases: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767822265625" w:line="240" w:lineRule="auto"/>
        <w:ind w:left="90" w:right="0" w:hanging="15"/>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a) to GN if a complaint is not assigned within 1 working day and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718994140625" w:line="240" w:lineRule="auto"/>
        <w:ind w:left="90" w:right="0" w:hanging="15"/>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b) to DN if a complaint is not resolved within 7 working days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767822265625" w:line="263.36451530456543" w:lineRule="auto"/>
        <w:ind w:left="90" w:right="468.11767578125" w:hanging="15"/>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4) Reviewing closed grievances with a rating of 2 or below (with 5 being the highest rating) in case such grievances are reported by the Grievance Nodal.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4714050292969" w:line="240" w:lineRule="auto"/>
        <w:ind w:left="90" w:right="0" w:hanging="15"/>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5.5 Objective criteria for assigning “Mark as Junk” to grievances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hanging="15"/>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Only the following grievances can be marked as junk by the departmental nodal: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894287109375" w:line="263.36119651794434" w:lineRule="auto"/>
        <w:ind w:left="90" w:right="311.666259765625" w:hanging="15"/>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 Duplicate complaints: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Identical or similar grievances reported by the same complainant.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 Non-actionable complaints: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Matters that fall outside regulatory scope of </w:t>
      </w:r>
      <w:r w:rsidDel="00000000" w:rsidR="00000000" w:rsidRPr="00000000">
        <w:rPr>
          <w:rFonts w:ascii="Calibri" w:cs="Calibri" w:eastAsia="Calibri" w:hAnsi="Calibri"/>
          <w:sz w:val="24"/>
          <w:szCs w:val="24"/>
          <w:rtl w:val="0"/>
        </w:rPr>
        <w:t xml:space="preserve">{mention state nursing council}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&amp; are beyond its authority to address.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6259765625" w:line="240" w:lineRule="auto"/>
        <w:ind w:left="90" w:right="0" w:hanging="15"/>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3)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Incomplete/Unsubstantiated complaints: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Complaints that lack supporting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74951171875" w:line="240" w:lineRule="auto"/>
        <w:ind w:left="90" w:right="0" w:hanging="15"/>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evidence/documentation to validate the concerns.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184326171875" w:line="240" w:lineRule="auto"/>
        <w:ind w:left="90" w:right="0" w:hanging="15"/>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184326171875" w:line="240" w:lineRule="auto"/>
        <w:ind w:left="90" w:right="0" w:hanging="15"/>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184326171875" w:line="240" w:lineRule="auto"/>
        <w:ind w:left="90" w:right="0" w:hanging="15"/>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184326171875" w:line="240" w:lineRule="auto"/>
        <w:ind w:left="90" w:right="0" w:hanging="15"/>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184326171875" w:line="240" w:lineRule="auto"/>
        <w:ind w:left="90" w:right="0" w:hanging="15"/>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184326171875" w:line="240" w:lineRule="auto"/>
        <w:ind w:left="90" w:right="0" w:hanging="15"/>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184326171875" w:line="240" w:lineRule="auto"/>
        <w:ind w:left="90" w:right="0" w:hanging="15"/>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184326171875" w:line="240" w:lineRule="auto"/>
        <w:ind w:left="90" w:right="0" w:hanging="15"/>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184326171875" w:line="240" w:lineRule="auto"/>
        <w:ind w:left="75"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Appendix 1- Table of Responsibilities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184326171875" w:line="240" w:lineRule="auto"/>
        <w:ind w:left="75" w:right="0" w:firstLine="0"/>
        <w:jc w:val="both"/>
        <w:rPr>
          <w:rFonts w:ascii="Calibri" w:cs="Calibri" w:eastAsia="Calibri" w:hAnsi="Calibri"/>
          <w:b w:val="1"/>
          <w:bCs w:val="1"/>
          <w:sz w:val="24"/>
          <w:szCs w:val="24"/>
        </w:rPr>
      </w:pPr>
      <w:r w:rsidDel="00000000" w:rsidR="00000000" w:rsidRPr="00000000">
        <w:rPr>
          <w:rtl w:val="0"/>
        </w:rPr>
      </w:r>
    </w:p>
    <w:tbl>
      <w:tblPr>
        <w:tblStyle w:val="Table1"/>
        <w:tblW w:w="92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0"/>
        <w:gridCol w:w="3860"/>
        <w:gridCol w:w="3380"/>
        <w:tblGridChange w:id="0">
          <w:tblGrid>
            <w:gridCol w:w="2040"/>
            <w:gridCol w:w="3860"/>
            <w:gridCol w:w="3380"/>
          </w:tblGrid>
        </w:tblGridChange>
      </w:tblGrid>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hanging="15"/>
              <w:jc w:val="both"/>
              <w:rPr>
                <w:rFonts w:ascii="Calibri" w:cs="Calibri" w:eastAsia="Calibri" w:hAnsi="Calibri"/>
                <w:b w:val="1"/>
                <w:bCs w:val="1"/>
                <w:i w:val="0"/>
                <w:iCs w:val="0"/>
                <w:smallCaps w:val="0"/>
                <w:strike w:val="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sz w:val="24"/>
                <w:szCs w:val="24"/>
                <w:u w:val="none"/>
                <w:shd w:fill="auto" w:val="clear"/>
                <w:vertAlign w:val="baseline"/>
                <w:rtl w:val="0"/>
              </w:rPr>
              <w:t xml:space="preserve">Responsibility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hanging="15"/>
              <w:jc w:val="both"/>
              <w:rPr>
                <w:rFonts w:ascii="Calibri" w:cs="Calibri" w:eastAsia="Calibri" w:hAnsi="Calibri"/>
                <w:b w:val="1"/>
                <w:bCs w:val="1"/>
                <w:i w:val="0"/>
                <w:iCs w:val="0"/>
                <w:smallCaps w:val="0"/>
                <w:strike w:val="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sz w:val="24"/>
                <w:szCs w:val="24"/>
                <w:u w:val="none"/>
                <w:shd w:fill="auto" w:val="clear"/>
                <w:vertAlign w:val="baseline"/>
                <w:rtl w:val="0"/>
              </w:rPr>
              <w:t xml:space="preserve">Action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hanging="15"/>
              <w:jc w:val="both"/>
              <w:rPr>
                <w:rFonts w:ascii="Calibri" w:cs="Calibri" w:eastAsia="Calibri" w:hAnsi="Calibri"/>
                <w:b w:val="1"/>
                <w:bCs w:val="1"/>
                <w:i w:val="0"/>
                <w:iCs w:val="0"/>
                <w:smallCaps w:val="0"/>
                <w:strike w:val="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sz w:val="24"/>
                <w:szCs w:val="24"/>
                <w:u w:val="none"/>
                <w:shd w:fill="auto" w:val="clear"/>
                <w:vertAlign w:val="baseline"/>
                <w:rtl w:val="0"/>
              </w:rPr>
              <w:t xml:space="preserve">Timeline</w:t>
            </w:r>
          </w:p>
        </w:tc>
      </w:tr>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hanging="15"/>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Secretary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hanging="15"/>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Assigning Grievance Nodal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hanging="15"/>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Need basis</w:t>
            </w:r>
          </w:p>
        </w:tc>
      </w:tr>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hanging="15"/>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Secretary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hanging="15"/>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Assigning Departmental Nodal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hanging="15"/>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Need basis</w:t>
            </w:r>
          </w:p>
        </w:tc>
      </w:tr>
      <w:tr>
        <w:trPr>
          <w:cantSplit w:val="0"/>
          <w:trHeight w:val="7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hanging="15"/>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Grievance Nodal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hanging="15"/>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Assigning grievance to relevant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0" w:lineRule="auto"/>
              <w:ind w:left="90" w:right="0" w:hanging="15"/>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department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90" w:right="238.560791015625" w:hanging="15"/>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Within 1 working day of receiving the grievance</w:t>
            </w:r>
          </w:p>
        </w:tc>
      </w:tr>
      <w:tr>
        <w:trPr>
          <w:cantSplit w:val="0"/>
          <w:trHeight w:val="10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hanging="15"/>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Departmental Nodal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07657623291" w:lineRule="auto"/>
              <w:ind w:left="90" w:right="94.28466796875" w:hanging="15"/>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Reviewing all the closed grievances with a rating of 2 and below and escalating to the secretary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385341644287" w:lineRule="auto"/>
              <w:ind w:left="90" w:right="154.617919921875" w:hanging="15"/>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Within 7 working days of receiving the rating from the complainant</w:t>
            </w:r>
          </w:p>
        </w:tc>
      </w:tr>
      <w:tr>
        <w:trPr>
          <w:cantSplit w:val="0"/>
          <w:trHeight w:val="10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4.0385341644287" w:lineRule="auto"/>
              <w:ind w:left="90" w:hanging="15"/>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Grievance Nodal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4.0385341644287" w:lineRule="auto"/>
              <w:ind w:left="90" w:hanging="1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 of closed grievances with rating of 2 or less and reporting these to the </w:t>
            </w:r>
          </w:p>
          <w:p w:rsidR="00000000" w:rsidDel="00000000" w:rsidP="00000000" w:rsidRDefault="00000000" w:rsidRPr="00000000" w14:paraId="00000051">
            <w:pPr>
              <w:widowControl w:val="0"/>
              <w:spacing w:before="8.11279296875" w:line="240" w:lineRule="auto"/>
              <w:ind w:left="90" w:hanging="1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secretary wherever deemed necessary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936.5924835205078" w:lineRule="auto"/>
              <w:ind w:left="90" w:hanging="15"/>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Monthly basis </w:t>
            </w:r>
            <w:r w:rsidDel="00000000" w:rsidR="00000000" w:rsidRPr="00000000">
              <w:rPr>
                <w:rtl w:val="0"/>
              </w:rPr>
            </w:r>
          </w:p>
        </w:tc>
      </w:tr>
      <w:tr>
        <w:trPr>
          <w:cantSplit w:val="0"/>
          <w:trHeight w:val="10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before="236.8194580078125" w:line="244.0385341644287" w:lineRule="auto"/>
              <w:ind w:left="90" w:hanging="1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Secretary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before="236.8194580078125" w:line="244.0385341644287" w:lineRule="auto"/>
              <w:ind w:left="90" w:hanging="1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Reviewing escalation report of grievance nodal on closed grievances with rating of </w:t>
            </w:r>
          </w:p>
          <w:p w:rsidR="00000000" w:rsidDel="00000000" w:rsidP="00000000" w:rsidRDefault="00000000" w:rsidRPr="00000000" w14:paraId="00000055">
            <w:pPr>
              <w:widowControl w:val="0"/>
              <w:spacing w:before="8.11279296875" w:line="240" w:lineRule="auto"/>
              <w:ind w:left="90" w:hanging="1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or below </w:t>
            </w:r>
          </w:p>
          <w:p w:rsidR="00000000" w:rsidDel="00000000" w:rsidP="00000000" w:rsidRDefault="00000000" w:rsidRPr="00000000" w14:paraId="00000056">
            <w:pPr>
              <w:widowControl w:val="0"/>
              <w:spacing w:line="244.0385341644287" w:lineRule="auto"/>
              <w:ind w:left="75" w:firstLine="0"/>
              <w:jc w:val="both"/>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936.5924835205078" w:lineRule="auto"/>
              <w:ind w:left="90" w:hanging="1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Monthly basis </w:t>
            </w:r>
          </w:p>
          <w:p w:rsidR="00000000" w:rsidDel="00000000" w:rsidP="00000000" w:rsidRDefault="00000000" w:rsidRPr="00000000" w14:paraId="00000058">
            <w:pPr>
              <w:widowControl w:val="0"/>
              <w:spacing w:line="936.5924835205078" w:lineRule="auto"/>
              <w:ind w:left="90" w:hanging="15"/>
              <w:jc w:val="both"/>
              <w:rPr>
                <w:rFonts w:ascii="Calibri" w:cs="Calibri" w:eastAsia="Calibri" w:hAnsi="Calibri"/>
                <w:sz w:val="24"/>
                <w:szCs w:val="24"/>
              </w:rPr>
            </w:pPr>
            <w:r w:rsidDel="00000000" w:rsidR="00000000" w:rsidRPr="00000000">
              <w:rPr>
                <w:rtl w:val="0"/>
              </w:rPr>
            </w:r>
          </w:p>
        </w:tc>
      </w:tr>
      <w:tr>
        <w:trPr>
          <w:cantSplit w:val="0"/>
          <w:trHeight w:val="10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before="135.380859375" w:line="244.0385341644287" w:lineRule="auto"/>
              <w:ind w:left="90" w:right="244.67529296875" w:hanging="1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Secretary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before="135.380859375" w:line="244.0385341644287" w:lineRule="auto"/>
              <w:ind w:left="90" w:right="244.67529296875" w:hanging="1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Sending reminders to GN or DN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before="135.380859375" w:line="244.0385341644287" w:lineRule="auto"/>
              <w:ind w:left="0" w:right="244.6752929687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Daily (for cases where GN or DN’s timeline is not followed) </w:t>
            </w:r>
          </w:p>
        </w:tc>
      </w:tr>
      <w:tr>
        <w:trPr>
          <w:cantSplit w:val="0"/>
          <w:trHeight w:val="10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before="233.11279296875" w:line="244.0474033355713" w:lineRule="auto"/>
              <w:ind w:left="90" w:hanging="1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Secretary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before="233.11279296875" w:line="244.0474033355713" w:lineRule="auto"/>
              <w:ind w:left="90" w:hanging="1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Reviewing and monitoring </w:t>
            </w:r>
            <w:r w:rsidDel="00000000" w:rsidR="00000000" w:rsidRPr="00000000">
              <w:rPr>
                <w:rFonts w:ascii="Calibri" w:cs="Calibri" w:eastAsia="Calibri" w:hAnsi="Calibri"/>
                <w:sz w:val="24"/>
                <w:szCs w:val="24"/>
                <w:rtl w:val="0"/>
              </w:rPr>
              <w:t xml:space="preserve">Grievance Redressal dashboard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ind w:left="90" w:hanging="15"/>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widowControl w:val="0"/>
              <w:spacing w:line="240" w:lineRule="auto"/>
              <w:ind w:left="7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Every Thursday</w:t>
            </w:r>
          </w:p>
        </w:tc>
      </w:tr>
    </w:tbl>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0" w:right="0" w:hanging="15"/>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936.5924835205078" w:lineRule="auto"/>
        <w:ind w:left="0" w:right="0" w:firstLine="0"/>
        <w:jc w:val="both"/>
        <w:rPr>
          <w:rFonts w:ascii="Calibri" w:cs="Calibri" w:eastAsia="Calibri" w:hAnsi="Calibri"/>
          <w:i w:val="0"/>
          <w:iCs w:val="0"/>
          <w:smallCaps w:val="0"/>
          <w:strike w:val="0"/>
          <w:color w:val="000000"/>
          <w:sz w:val="24"/>
          <w:szCs w:val="24"/>
          <w:u w:val="none"/>
          <w:shd w:fill="auto" w:val="clear"/>
          <w:vertAlign w:val="baseline"/>
        </w:rPr>
        <w:sectPr>
          <w:pgSz w:h="16840" w:w="11920" w:orient="portrait"/>
          <w:pgMar w:bottom="1511.3330078125" w:top="1431.796875" w:left="1440" w:right="1210" w:header="0" w:footer="720"/>
          <w:pgNumType w:start="1"/>
        </w:sect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380859375" w:line="244.0385341644287" w:lineRule="auto"/>
        <w:ind w:left="90" w:right="244.67529296875" w:hanging="15"/>
        <w:jc w:val="both"/>
        <w:rPr>
          <w:rFonts w:ascii="Calibri" w:cs="Calibri" w:eastAsia="Calibri" w:hAnsi="Calibri"/>
          <w:i w:val="0"/>
          <w:iCs w:val="0"/>
          <w:smallCaps w:val="0"/>
          <w:strike w:val="0"/>
          <w:color w:val="000000"/>
          <w:sz w:val="24"/>
          <w:szCs w:val="24"/>
          <w:u w:val="none"/>
          <w:shd w:fill="auto" w:val="clear"/>
          <w:vertAlign w:val="baseline"/>
        </w:rPr>
        <w:sectPr>
          <w:type w:val="continuous"/>
          <w:pgSz w:h="16840" w:w="11920" w:orient="portrait"/>
          <w:pgMar w:bottom="1511.3330078125" w:top="1431.796875" w:left="1440" w:right="1210" w:header="0" w:footer="720"/>
          <w:cols w:equalWidth="0" w:num="1">
            <w:col w:space="0" w:w="9255.5"/>
          </w:cols>
        </w:sect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11279296875" w:line="244.0474033355713" w:lineRule="auto"/>
        <w:ind w:left="90" w:right="0" w:hanging="15"/>
        <w:jc w:val="both"/>
        <w:rPr>
          <w:rFonts w:ascii="Calibri" w:cs="Calibri" w:eastAsia="Calibri" w:hAnsi="Calibri"/>
          <w:i w:val="0"/>
          <w:iCs w:val="0"/>
          <w:smallCaps w:val="0"/>
          <w:strike w:val="0"/>
          <w:color w:val="1155cc"/>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hanging="15"/>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tl w:val="0"/>
        </w:rPr>
      </w:r>
    </w:p>
    <w:sectPr>
      <w:type w:val="continuous"/>
      <w:pgSz w:h="16840" w:w="11920" w:orient="portrait"/>
      <w:pgMar w:bottom="1511.3330078125" w:top="1431.796875" w:left="1440" w:right="3119.6954345703125" w:header="0" w:footer="720"/>
      <w:cols w:equalWidth="0" w:num="2">
        <w:col w:space="0" w:w="3672.9"/>
        <w:col w:space="0" w:w="3672.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